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</w:t>
      </w:r>
      <w:proofErr w:type="gramStart"/>
      <w:r w:rsidRPr="002D3201">
        <w:rPr>
          <w:rFonts w:ascii="Arial" w:hAnsi="Arial" w:cs="Arial"/>
          <w:sz w:val="24"/>
          <w:szCs w:val="24"/>
        </w:rPr>
        <w:t>předpisy 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7944EB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69-53</w:t>
      </w:r>
      <w:r w:rsidR="00E3161E">
        <w:rPr>
          <w:rFonts w:ascii="Arial" w:hAnsi="Arial" w:cs="Arial"/>
          <w:b/>
          <w:sz w:val="24"/>
          <w:szCs w:val="24"/>
        </w:rPr>
        <w:t xml:space="preserve">-H/01 </w:t>
      </w:r>
      <w:r>
        <w:rPr>
          <w:rFonts w:ascii="Arial" w:hAnsi="Arial" w:cs="Arial"/>
          <w:b/>
          <w:sz w:val="24"/>
          <w:szCs w:val="24"/>
        </w:rPr>
        <w:t>Rekondiční a sportovní masér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2021/2022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>max. 40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834CC" w:rsidRPr="00A8215F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nebo dvě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283862">
        <w:rPr>
          <w:rFonts w:ascii="Arial" w:hAnsi="Arial" w:cs="Arial"/>
          <w:sz w:val="24"/>
          <w:szCs w:val="24"/>
        </w:rPr>
        <w:t>7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7944EB" w:rsidRPr="007944EB">
        <w:rPr>
          <w:rFonts w:ascii="Arial" w:hAnsi="Arial" w:cs="Arial"/>
          <w:b/>
          <w:sz w:val="24"/>
          <w:szCs w:val="24"/>
        </w:rPr>
        <w:t>69</w:t>
      </w:r>
      <w:r w:rsidR="00E3161E" w:rsidRPr="007944EB">
        <w:rPr>
          <w:rFonts w:ascii="Arial" w:hAnsi="Arial" w:cs="Arial"/>
          <w:b/>
          <w:sz w:val="24"/>
          <w:szCs w:val="24"/>
        </w:rPr>
        <w:t>-</w:t>
      </w:r>
      <w:r w:rsidR="007944EB">
        <w:rPr>
          <w:rFonts w:ascii="Arial" w:hAnsi="Arial" w:cs="Arial"/>
          <w:b/>
          <w:sz w:val="24"/>
          <w:szCs w:val="24"/>
        </w:rPr>
        <w:t>53</w:t>
      </w:r>
      <w:r w:rsidR="00E3161E">
        <w:rPr>
          <w:rFonts w:ascii="Arial" w:hAnsi="Arial" w:cs="Arial"/>
          <w:b/>
          <w:sz w:val="24"/>
          <w:szCs w:val="24"/>
        </w:rPr>
        <w:t xml:space="preserve">-H/01 </w:t>
      </w:r>
      <w:r w:rsidR="007944EB">
        <w:rPr>
          <w:rFonts w:ascii="Arial" w:hAnsi="Arial" w:cs="Arial"/>
          <w:b/>
          <w:sz w:val="24"/>
          <w:szCs w:val="24"/>
        </w:rPr>
        <w:t>Rekondiční a sportovní masér</w:t>
      </w:r>
      <w:r w:rsidR="00E3161E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bude sestaveno na základě prospěchu na základní škole </w:t>
      </w:r>
      <w:proofErr w:type="gramStart"/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</w:t>
      </w:r>
      <w:proofErr w:type="gramEnd"/>
      <w:r w:rsidR="00A8215F" w:rsidRPr="00A8215F">
        <w:rPr>
          <w:rFonts w:ascii="Arial" w:hAnsi="Arial" w:cs="Arial"/>
          <w:sz w:val="24"/>
          <w:szCs w:val="24"/>
        </w:rPr>
        <w:t xml:space="preserve"> 8.ročníku a 1.pololetí 9.ročníku nebo za dvě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2036">
        <w:rPr>
          <w:rFonts w:ascii="Arial" w:hAnsi="Arial" w:cs="Arial"/>
          <w:sz w:val="24"/>
          <w:szCs w:val="24"/>
        </w:rPr>
        <w:t>ze</w:t>
      </w:r>
      <w:proofErr w:type="gramEnd"/>
      <w:r w:rsidR="00D12036">
        <w:rPr>
          <w:rFonts w:ascii="Arial" w:hAnsi="Arial" w:cs="Arial"/>
          <w:sz w:val="24"/>
          <w:szCs w:val="24"/>
        </w:rPr>
        <w:t xml:space="preserve">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A8215F" w:rsidP="00A8215F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Pr="00A8215F">
        <w:rPr>
          <w:rFonts w:ascii="Arial" w:hAnsi="Arial" w:cs="Arial"/>
          <w:sz w:val="24"/>
          <w:szCs w:val="24"/>
        </w:rPr>
        <w:t>odst.7 nelze</w:t>
      </w:r>
      <w:proofErr w:type="gramEnd"/>
      <w:r w:rsidRPr="00A8215F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</w:p>
    <w:p w:rsidR="00A8215F" w:rsidRPr="00E3161E" w:rsidRDefault="00A8215F" w:rsidP="00E3161E">
      <w:pPr>
        <w:jc w:val="both"/>
        <w:rPr>
          <w:rFonts w:ascii="Arial" w:hAnsi="Arial" w:cs="Arial"/>
          <w:b/>
        </w:rPr>
      </w:pP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7944EB">
        <w:rPr>
          <w:rFonts w:ascii="Arial" w:hAnsi="Arial" w:cs="Arial"/>
          <w:sz w:val="24"/>
          <w:szCs w:val="24"/>
        </w:rPr>
        <w:t>počet přijímaných uchazečů je 12</w:t>
      </w:r>
      <w:r>
        <w:rPr>
          <w:rFonts w:ascii="Arial" w:hAnsi="Arial" w:cs="Arial"/>
          <w:sz w:val="24"/>
          <w:szCs w:val="24"/>
        </w:rPr>
        <w:t>.</w:t>
      </w: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DA6FCE" w:rsidRDefault="000961DF" w:rsidP="00A821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7944EB">
        <w:rPr>
          <w:rFonts w:ascii="Arial" w:hAnsi="Arial" w:cs="Arial"/>
          <w:sz w:val="24"/>
          <w:szCs w:val="24"/>
        </w:rPr>
        <w:t>jí se body za</w:t>
      </w:r>
      <w:r w:rsidR="009E0689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172FD0">
        <w:rPr>
          <w:rFonts w:ascii="Arial" w:hAnsi="Arial" w:cs="Arial"/>
          <w:sz w:val="24"/>
          <w:szCs w:val="24"/>
        </w:rPr>
        <w:t>, které</w:t>
      </w:r>
      <w:bookmarkStart w:id="0" w:name="_GoBack"/>
      <w:bookmarkEnd w:id="0"/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(</w:t>
      </w:r>
      <w:r w:rsidR="00A8215F" w:rsidRPr="009E0689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="00A8215F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A8215F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 w:rsidR="009E0689">
        <w:rPr>
          <w:rFonts w:ascii="Arial" w:hAnsi="Arial" w:cs="Arial"/>
          <w:sz w:val="24"/>
          <w:szCs w:val="24"/>
        </w:rPr>
        <w:t>)</w:t>
      </w:r>
    </w:p>
    <w:p w:rsidR="007944EB" w:rsidRPr="007944EB" w:rsidRDefault="007944EB" w:rsidP="007944E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Pokud se ke studiu hlásí uchazeč ze základní školy praktické nebo byl vzděláván na základní škole podle RVP ZV LMP, započítávají se pouze body za </w:t>
      </w:r>
      <w:r>
        <w:rPr>
          <w:rFonts w:ascii="Arial" w:hAnsi="Arial" w:cs="Arial"/>
          <w:sz w:val="24"/>
          <w:szCs w:val="24"/>
        </w:rPr>
        <w:t xml:space="preserve">poslední pololetí, </w:t>
      </w:r>
      <w:r>
        <w:rPr>
          <w:rFonts w:ascii="Arial" w:hAnsi="Arial" w:cs="Arial"/>
          <w:sz w:val="24"/>
          <w:szCs w:val="24"/>
        </w:rPr>
        <w:t>které lze hodnotit. (</w:t>
      </w:r>
      <w:r w:rsidRPr="009E0689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)</w:t>
      </w:r>
    </w:p>
    <w:p w:rsidR="007944EB" w:rsidRPr="007944EB" w:rsidRDefault="000961DF" w:rsidP="007944E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 xml:space="preserve">, </w:t>
      </w:r>
      <w:r w:rsidR="007944EB">
        <w:rPr>
          <w:rFonts w:ascii="Arial" w:hAnsi="Arial" w:cs="Arial"/>
          <w:sz w:val="24"/>
          <w:szCs w:val="24"/>
        </w:rPr>
        <w:t>započítává</w:t>
      </w:r>
      <w:r w:rsidR="007944EB">
        <w:rPr>
          <w:rFonts w:ascii="Arial" w:hAnsi="Arial" w:cs="Arial"/>
          <w:sz w:val="24"/>
          <w:szCs w:val="24"/>
        </w:rPr>
        <w:t xml:space="preserve"> se pouze </w:t>
      </w:r>
      <w:r w:rsidR="007944EB">
        <w:rPr>
          <w:rFonts w:ascii="Arial" w:hAnsi="Arial" w:cs="Arial"/>
          <w:sz w:val="24"/>
          <w:szCs w:val="24"/>
        </w:rPr>
        <w:t>polovina bodů</w:t>
      </w:r>
      <w:r w:rsidR="007944EB">
        <w:rPr>
          <w:rFonts w:ascii="Arial" w:hAnsi="Arial" w:cs="Arial"/>
          <w:sz w:val="24"/>
          <w:szCs w:val="24"/>
        </w:rPr>
        <w:t xml:space="preserve"> za poslední pololetí, které lze hodnotit. (</w:t>
      </w:r>
      <w:r w:rsidR="007944EB" w:rsidRPr="009E0689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="007944EB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7944EB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 w:rsidR="007944EB">
        <w:rPr>
          <w:rFonts w:ascii="Arial" w:hAnsi="Arial" w:cs="Arial"/>
          <w:sz w:val="24"/>
          <w:szCs w:val="24"/>
        </w:rPr>
        <w:t>)</w:t>
      </w:r>
    </w:p>
    <w:p w:rsidR="00DB3742" w:rsidRDefault="00DB3742" w:rsidP="00794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>hodnocen slovně, nechá si slovní hodnocení pro účely přijímacího řízení převést do známek. Pokud tak neučiní, nezíská žádné body za průměry známek na vysvědčení.</w:t>
      </w:r>
    </w:p>
    <w:p w:rsidR="007944EB" w:rsidRDefault="007944EB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E3161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E316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B02013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0689">
        <w:rPr>
          <w:rFonts w:ascii="Arial" w:hAnsi="Arial" w:cs="Arial"/>
          <w:sz w:val="24"/>
          <w:szCs w:val="24"/>
        </w:rPr>
        <w:t>0.1.2021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29" w:rsidRDefault="00845B29">
      <w:pPr>
        <w:spacing w:after="0" w:line="240" w:lineRule="auto"/>
      </w:pPr>
      <w:r>
        <w:separator/>
      </w:r>
    </w:p>
  </w:endnote>
  <w:endnote w:type="continuationSeparator" w:id="0">
    <w:p w:rsidR="00845B29" w:rsidRDefault="0084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29" w:rsidRDefault="00845B29">
      <w:pPr>
        <w:spacing w:after="0" w:line="240" w:lineRule="auto"/>
      </w:pPr>
      <w:r>
        <w:separator/>
      </w:r>
    </w:p>
  </w:footnote>
  <w:footnote w:type="continuationSeparator" w:id="0">
    <w:p w:rsidR="00845B29" w:rsidRDefault="0084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860223" w:rsidP="00643C30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71611591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358A1"/>
    <w:rsid w:val="0004199B"/>
    <w:rsid w:val="000464BC"/>
    <w:rsid w:val="000961DF"/>
    <w:rsid w:val="0009773B"/>
    <w:rsid w:val="000F5685"/>
    <w:rsid w:val="00120B44"/>
    <w:rsid w:val="00133010"/>
    <w:rsid w:val="00172FD0"/>
    <w:rsid w:val="00174FDA"/>
    <w:rsid w:val="0018194E"/>
    <w:rsid w:val="001A23F5"/>
    <w:rsid w:val="001D2F94"/>
    <w:rsid w:val="00252A1E"/>
    <w:rsid w:val="00283862"/>
    <w:rsid w:val="002B1330"/>
    <w:rsid w:val="002C2A59"/>
    <w:rsid w:val="002C6C72"/>
    <w:rsid w:val="003A4E0A"/>
    <w:rsid w:val="003E6881"/>
    <w:rsid w:val="00404231"/>
    <w:rsid w:val="00446B14"/>
    <w:rsid w:val="0045578A"/>
    <w:rsid w:val="004B523A"/>
    <w:rsid w:val="00643C30"/>
    <w:rsid w:val="00646352"/>
    <w:rsid w:val="00652804"/>
    <w:rsid w:val="00676387"/>
    <w:rsid w:val="006C246C"/>
    <w:rsid w:val="007270FF"/>
    <w:rsid w:val="00762A43"/>
    <w:rsid w:val="00781BE7"/>
    <w:rsid w:val="007944EB"/>
    <w:rsid w:val="007F64CD"/>
    <w:rsid w:val="008177EF"/>
    <w:rsid w:val="00845B29"/>
    <w:rsid w:val="00860223"/>
    <w:rsid w:val="008C7BB8"/>
    <w:rsid w:val="009246A8"/>
    <w:rsid w:val="009C074E"/>
    <w:rsid w:val="009C498B"/>
    <w:rsid w:val="009E0689"/>
    <w:rsid w:val="009F77BC"/>
    <w:rsid w:val="00A21BBB"/>
    <w:rsid w:val="00A8215F"/>
    <w:rsid w:val="00AC759D"/>
    <w:rsid w:val="00B02013"/>
    <w:rsid w:val="00B834CC"/>
    <w:rsid w:val="00B8610A"/>
    <w:rsid w:val="00BF2C27"/>
    <w:rsid w:val="00C3043A"/>
    <w:rsid w:val="00C47801"/>
    <w:rsid w:val="00C96A82"/>
    <w:rsid w:val="00CC7993"/>
    <w:rsid w:val="00D12036"/>
    <w:rsid w:val="00DB3742"/>
    <w:rsid w:val="00E1306F"/>
    <w:rsid w:val="00E3161E"/>
    <w:rsid w:val="00E75973"/>
    <w:rsid w:val="00EF4D18"/>
    <w:rsid w:val="00F14527"/>
    <w:rsid w:val="00F243EA"/>
    <w:rsid w:val="00F25C7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2021-01-08T10:36:00Z</cp:lastPrinted>
  <dcterms:created xsi:type="dcterms:W3CDTF">2021-01-08T09:25:00Z</dcterms:created>
  <dcterms:modified xsi:type="dcterms:W3CDTF">2021-01-08T10:47:00Z</dcterms:modified>
</cp:coreProperties>
</file>