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33-59-H/01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33-59-H/01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pedagogicko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>závažné poruchy chování, středně  a těžké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  <w:t>PaedDr.Věra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1E" w:rsidRDefault="00252A1E">
      <w:pPr>
        <w:spacing w:after="0" w:line="240" w:lineRule="auto"/>
      </w:pPr>
      <w:r>
        <w:separator/>
      </w:r>
    </w:p>
  </w:endnote>
  <w:endnote w:type="continuationSeparator" w:id="0">
    <w:p w:rsidR="00252A1E" w:rsidRDefault="002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1E" w:rsidRDefault="00252A1E">
      <w:pPr>
        <w:spacing w:after="0" w:line="240" w:lineRule="auto"/>
      </w:pPr>
      <w:r>
        <w:separator/>
      </w:r>
    </w:p>
  </w:footnote>
  <w:footnote w:type="continuationSeparator" w:id="0">
    <w:p w:rsidR="00252A1E" w:rsidRDefault="0025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05877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246A8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1306F"/>
    <w:rsid w:val="00E3161E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2021-01-07T12:37:00Z</cp:lastPrinted>
  <dcterms:created xsi:type="dcterms:W3CDTF">2021-01-07T11:22:00Z</dcterms:created>
  <dcterms:modified xsi:type="dcterms:W3CDTF">2021-01-08T09:12:00Z</dcterms:modified>
</cp:coreProperties>
</file>